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F" w:rsidRPr="00C826CF" w:rsidRDefault="00C826CF" w:rsidP="00C826CF">
      <w:pPr>
        <w:widowControl/>
        <w:shd w:val="clear" w:color="auto" w:fill="FFFFFF"/>
        <w:spacing w:line="245" w:lineRule="atLeast"/>
        <w:jc w:val="center"/>
        <w:rPr>
          <w:rFonts w:ascii="微软雅黑" w:eastAsia="微软雅黑" w:hAnsi="微软雅黑" w:cs="宋体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山东大学研究生免修公共外语课程管理办法</w:t>
      </w:r>
    </w:p>
    <w:p w:rsidR="00C826CF" w:rsidRPr="00C826CF" w:rsidRDefault="00C826CF" w:rsidP="00C826CF">
      <w:pPr>
        <w:widowControl/>
        <w:shd w:val="clear" w:color="auto" w:fill="FFFFFF"/>
        <w:spacing w:before="120"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为进一步贯彻因材施教的原则，推进研究生公共外语教学改革，提高公共外语课程教学质量和教学效果，结合我校实际，特制定本办法。</w:t>
      </w:r>
    </w:p>
    <w:p w:rsidR="00C826CF" w:rsidRPr="00C826CF" w:rsidRDefault="00C826CF" w:rsidP="00C826CF">
      <w:pPr>
        <w:widowControl/>
        <w:shd w:val="clear" w:color="auto" w:fill="FFFFFF"/>
        <w:spacing w:before="120"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一、免修条件及成绩认定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（一）硕士研究生符合下列条件之一者可申请免修公共外语：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1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TOEFL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成绩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90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分及以上（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2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年内有效）；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2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GRE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成绩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300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分及以上（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5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年内有效）；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3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GMAT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成绩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660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分及以上（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5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年内有效）；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4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IELTS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成绩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6.5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分及以上（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2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年内有效）；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5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WSK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PETS-5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）成绩合格（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3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年内有效）；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6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、全国大学英语六级考试（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CET-6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）成绩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550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分及以上（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3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年内有效）；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7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、全国高校英语专业四级或八级考试（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TEM-4/8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）成绩合格及以上；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8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、在官方语言为英语的国家获得了学历和学位（以教育部留学服务中心出具的国外学历学位认证书为准）；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9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、获得英语、日语、法语、德语、俄语专业本科毕业证和学士学位证，且入学考试所报的外国语语种与本科专业一致。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（二）外语语种非英语的博士研究生免修第二外国语（英）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已获得大学英语四、六级考试合格成绩，或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TOEFL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IELTS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等考试成绩，或研究生阶段获得公共学位英语课程合格及以上成绩的博士研究生，可申请免修第二外国语（英）。</w:t>
      </w:r>
    </w:p>
    <w:p w:rsidR="00C826CF" w:rsidRPr="00C826CF" w:rsidRDefault="00C826CF" w:rsidP="00C826CF">
      <w:pPr>
        <w:widowControl/>
        <w:shd w:val="clear" w:color="auto" w:fill="FFFFFF"/>
        <w:spacing w:before="120"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外语水平符合以上学校免修政策的研究生，可提出免修公共外语课程的申请，经学校审批通过后，免修免考相应课程，获“免修”成绩和学分。</w:t>
      </w:r>
    </w:p>
    <w:p w:rsidR="00C826CF" w:rsidRPr="00C826CF" w:rsidRDefault="00C826CF" w:rsidP="00C826CF">
      <w:pPr>
        <w:widowControl/>
        <w:shd w:val="clear" w:color="auto" w:fill="FFFFFF"/>
        <w:spacing w:before="120"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二、申请办法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符合免修条件（一）者，于每年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8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1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20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日在研究生管理信息系统中进行网上申请，入学报到时提交免修申请表（见附件）、相关证明原件及复印件；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符合免修条件（二）者，于入学报到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3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周内提交申请表，经所在培养单位审核汇总后，提交学校审批和留档。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逾期不予办理。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本管理办法自</w:t>
      </w:r>
      <w:r w:rsidRPr="00C826CF">
        <w:rPr>
          <w:rFonts w:ascii="Calibri" w:eastAsia="微软雅黑" w:hAnsi="Calibri" w:cs="Calibri"/>
          <w:color w:val="000000"/>
          <w:kern w:val="0"/>
          <w:sz w:val="24"/>
          <w:szCs w:val="24"/>
        </w:rPr>
        <w:t>2017</w:t>
      </w:r>
      <w:r w:rsidRPr="00C826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级研究生起执行。由研究生院负责解释。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826CF"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  <w:t> </w:t>
      </w:r>
    </w:p>
    <w:p w:rsidR="00C826CF" w:rsidRPr="00C826CF" w:rsidRDefault="00C826CF" w:rsidP="00C826CF">
      <w:pPr>
        <w:widowControl/>
        <w:shd w:val="clear" w:color="auto" w:fill="FFFFFF"/>
        <w:spacing w:line="245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hyperlink r:id="rId6" w:history="1">
        <w:r w:rsidRPr="00C826CF">
          <w:rPr>
            <w:rFonts w:ascii="宋体" w:eastAsia="宋体" w:hAnsi="宋体" w:cs="宋体" w:hint="eastAsia"/>
            <w:i/>
            <w:iCs/>
            <w:color w:val="000000"/>
            <w:kern w:val="0"/>
            <w:sz w:val="24"/>
            <w:szCs w:val="24"/>
          </w:rPr>
          <w:t>附件：山东大学研究生免修公共外语申请表</w:t>
        </w:r>
      </w:hyperlink>
    </w:p>
    <w:p w:rsidR="00D0399C" w:rsidRPr="00C826CF" w:rsidRDefault="00D0399C"/>
    <w:sectPr w:rsidR="00D0399C" w:rsidRPr="00C826CF" w:rsidSect="00D0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09" w:rsidRDefault="007C3E09" w:rsidP="00C826CF">
      <w:r>
        <w:separator/>
      </w:r>
    </w:p>
  </w:endnote>
  <w:endnote w:type="continuationSeparator" w:id="0">
    <w:p w:rsidR="007C3E09" w:rsidRDefault="007C3E09" w:rsidP="00C8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09" w:rsidRDefault="007C3E09" w:rsidP="00C826CF">
      <w:r>
        <w:separator/>
      </w:r>
    </w:p>
  </w:footnote>
  <w:footnote w:type="continuationSeparator" w:id="0">
    <w:p w:rsidR="007C3E09" w:rsidRDefault="007C3E09" w:rsidP="00C82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6CF"/>
    <w:rsid w:val="007C3E09"/>
    <w:rsid w:val="00C826CF"/>
    <w:rsid w:val="00D0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6CF"/>
    <w:rPr>
      <w:sz w:val="18"/>
      <w:szCs w:val="18"/>
    </w:rPr>
  </w:style>
  <w:style w:type="paragraph" w:styleId="a5">
    <w:name w:val="List Paragraph"/>
    <w:basedOn w:val="a"/>
    <w:uiPriority w:val="34"/>
    <w:qFormat/>
    <w:rsid w:val="00C82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C826CF"/>
    <w:rPr>
      <w:i/>
      <w:iCs/>
    </w:rPr>
  </w:style>
  <w:style w:type="character" w:styleId="a7">
    <w:name w:val="Hyperlink"/>
    <w:basedOn w:val="a0"/>
    <w:uiPriority w:val="99"/>
    <w:semiHidden/>
    <w:unhideWhenUsed/>
    <w:rsid w:val="00C82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.sdu.edu.cn/userfiles/20160813/892e10cb-e5c6-4ca2-9d52-cf92991df8f9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2018-07-30T07:00:00Z</dcterms:created>
  <dcterms:modified xsi:type="dcterms:W3CDTF">2018-07-30T07:01:00Z</dcterms:modified>
</cp:coreProperties>
</file>